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3CEE" w14:textId="77777777" w:rsidR="00074A09" w:rsidRPr="00074A09" w:rsidRDefault="00074A09" w:rsidP="00074A09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Ohlášení změny místa trvalého pobytu</w:t>
      </w:r>
    </w:p>
    <w:p w14:paraId="5C93449C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Občan může mít jen jedno místo trvalého pobytu, a to v objektu, který je označen číslem popisným nebo evidenčním, popřípadě orientačním číslem a který je určen pro bydlení, ubytování nebo individuální rekreaci.</w:t>
      </w:r>
    </w:p>
    <w:p w14:paraId="4B6FE364" w14:textId="77777777" w:rsidR="000622B0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Změnu místa trvalého pobytu ohlásí občan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ohlašovně </w:t>
      </w:r>
      <w:r w:rsidRPr="0085339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v </w:t>
      </w:r>
      <w:proofErr w:type="gramStart"/>
      <w:r w:rsidRPr="0085339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místě  nového</w:t>
      </w:r>
      <w:proofErr w:type="gramEnd"/>
      <w:r w:rsidRPr="0085339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 xml:space="preserve"> trvalého pobytu</w:t>
      </w:r>
      <w:r w:rsidRPr="00853393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="000622B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.</w:t>
      </w:r>
    </w:p>
    <w:p w14:paraId="5AE1C866" w14:textId="46A99036" w:rsidR="000B43E2" w:rsidRDefault="000622B0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</w:t>
      </w:r>
      <w:r w:rsidR="00074A09"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 podmínkách </w:t>
      </w:r>
      <w:r w:rsidR="000873F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Obce Studenec u Třebíče </w:t>
      </w:r>
      <w:r w:rsidR="000B43E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 budově OÚ Studenec </w:t>
      </w:r>
      <w:r w:rsidR="00074A09"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 </w:t>
      </w:r>
      <w:r w:rsidR="000873F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adrese Studenec 160</w:t>
      </w:r>
      <w:r w:rsidR="000B43E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v úředních hodinách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  <w:r w:rsidR="000B43E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14:paraId="6A096FA1" w14:textId="419DB7E8" w:rsidR="000B43E2" w:rsidRDefault="000B43E2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Pondělí: 8:00 – 10:00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hodin  a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13:00 – 16:00 hodin,</w:t>
      </w:r>
    </w:p>
    <w:p w14:paraId="5253AFBF" w14:textId="6A8F517D" w:rsidR="000B43E2" w:rsidRDefault="000B43E2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Středa: </w:t>
      </w:r>
      <w:r w:rsidR="000622B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8:00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– 10:00 hodin a 13:00 – 16:00 hodin, </w:t>
      </w:r>
    </w:p>
    <w:p w14:paraId="0CF62A4C" w14:textId="53F1327C" w:rsidR="000622B0" w:rsidRDefault="000622B0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</w:t>
      </w:r>
      <w:r w:rsidR="000B43E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 ostatní dobu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/ dny, případně hodiny </w:t>
      </w:r>
      <w:r w:rsidR="000B43E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dle předchozí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telefonické, emailové, osobní </w:t>
      </w:r>
      <w:r w:rsidR="000B43E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domluvy</w:t>
      </w:r>
      <w:r w:rsidR="00074A09"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). </w:t>
      </w:r>
    </w:p>
    <w:p w14:paraId="18BBFFD2" w14:textId="71B02130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Odhlašování v místě předchozího trvalého pobytu není nutné.</w:t>
      </w:r>
    </w:p>
    <w:p w14:paraId="7FF36705" w14:textId="77777777" w:rsidR="00EC3FF0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4C0157A" w14:textId="133F56D8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Změnu místa trvalého pobytu může ohlásit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</w:p>
    <w:p w14:paraId="58049AFF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- občan České republiky starší 15 let</w:t>
      </w:r>
    </w:p>
    <w:p w14:paraId="43BB12E3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- za občana mladšího 15 let zákonný zástupce, popřípadě fyzická osoba, které bylo dítě svěřeno do péče rozhodnutím soudu </w:t>
      </w:r>
    </w:p>
    <w:p w14:paraId="7AD057AB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- zákonný zástupce za občana, jehož svéprávnost byla rozhodnutím soudu omezena tak, že není způsobilý ohlásit změnu místa trvalého pobytu</w:t>
      </w:r>
    </w:p>
    <w:p w14:paraId="25C026B8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- člen domácnosti, jehož oprávnění k zastupování občana bylo schváleno soudem</w:t>
      </w:r>
    </w:p>
    <w:p w14:paraId="579A3463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- občanem pověřený zmocněnec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na základě zvláštní plné moci s úředně ověřenými podpisy</w:t>
      </w:r>
    </w:p>
    <w:p w14:paraId="51D8A81C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FB61475" w14:textId="77777777" w:rsidR="00074A09" w:rsidRPr="00074A09" w:rsidRDefault="00074A09" w:rsidP="00074A09">
      <w:pPr>
        <w:shd w:val="clear" w:color="auto" w:fill="FFFFFF"/>
        <w:spacing w:before="320" w:after="96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lang w:eastAsia="cs-CZ"/>
        </w:rPr>
        <w:t>Při ohlášení změny místa trvalého pobytu je občan povinen:</w:t>
      </w:r>
    </w:p>
    <w:p w14:paraId="1B73F593" w14:textId="6904E7A9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 </w:t>
      </w:r>
      <w:r w:rsidRPr="00853393">
        <w:rPr>
          <w:rFonts w:ascii="Arial" w:eastAsia="Times New Roman" w:hAnsi="Arial" w:cs="Arial"/>
          <w:b/>
          <w:bCs/>
          <w:color w:val="000000"/>
          <w:sz w:val="19"/>
          <w:szCs w:val="19"/>
          <w:highlight w:val="yellow"/>
          <w:lang w:eastAsia="cs-CZ"/>
        </w:rPr>
        <w:t xml:space="preserve">vyplnit a podepsat přihlašovací lístek k trvalému </w:t>
      </w:r>
      <w:proofErr w:type="gramStart"/>
      <w:r w:rsidRPr="00853393">
        <w:rPr>
          <w:rFonts w:ascii="Arial" w:eastAsia="Times New Roman" w:hAnsi="Arial" w:cs="Arial"/>
          <w:b/>
          <w:bCs/>
          <w:color w:val="000000"/>
          <w:sz w:val="19"/>
          <w:szCs w:val="19"/>
          <w:highlight w:val="yellow"/>
          <w:lang w:eastAsia="cs-CZ"/>
        </w:rPr>
        <w:t>pobytu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,  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který</w:t>
      </w:r>
      <w:proofErr w:type="gramEnd"/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je k dispozici na ohlašovně trvalého pobytu (</w:t>
      </w:r>
      <w:r w:rsidRPr="00853393"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>je možné vyplnit pouze originální tiskopis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                           </w:t>
      </w:r>
    </w:p>
    <w:p w14:paraId="4AA0D8E0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 Každý občan, tedy i dítě mladší 15 let, musí mít při změně místa trvalého pobytu vypsaný svůj vlastní přihlašovací lístek k trvalému pobytu. Za děti mladší 15 let přihlašovací lístek vypisuje a podepisuje zákonný zástupce.</w:t>
      </w:r>
    </w:p>
    <w:p w14:paraId="17ACE65D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-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předložit platný občanský průkaz nebo, nemá – </w:t>
      </w:r>
      <w:proofErr w:type="spellStart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li</w:t>
      </w:r>
      <w:proofErr w:type="spellEnd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platný občanský průkaz, jiný obdobný doklad, který je veřejnou listinou</w:t>
      </w:r>
    </w:p>
    <w:p w14:paraId="5F0E4138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 xml:space="preserve">-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doložit vlastnictví bytu nebo domu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(např. výpisem z katastru nemovitostí) 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nebo doložit oprávněnost užívání bytu nebo domu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(např. nájemní smlouvou), a to v originále či ověřené kopii.</w:t>
      </w:r>
    </w:p>
    <w:p w14:paraId="40E8ED77" w14:textId="71436A40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  V případě, že občan doklad o vlastnictví či oprávněnosti užívání objektu nevlastní, je povinen doložit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úředně ověřené písemné </w:t>
      </w:r>
      <w:proofErr w:type="gramStart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potvrzení  oprávněné</w:t>
      </w:r>
      <w:proofErr w:type="gramEnd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osoby o souhlasu s ohlášením   změny místa   trvalého pobytu.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 případě, že oprávněná osoba je přítomna na ohlašovně při provádění změny místa trvalého pobytu a potvrdí svůj souhlas na přihlašovacím lístku před zaměst</w:t>
      </w:r>
      <w:r w:rsidR="000873F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ancem ohlašovny, úředně ověřené písemné potvrzení se nevyžaduje.</w:t>
      </w:r>
    </w:p>
    <w:p w14:paraId="42EACC31" w14:textId="0145E3DE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Za oprávněnou osobu se považuje osoba starší 18 let, svéprávná, která je oprávněna užívat objekt nebo jeho vymezenou část (např.</w:t>
      </w:r>
      <w:r w:rsidR="000873FA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 xml:space="preserve"> </w:t>
      </w:r>
      <w:r w:rsidRPr="00074A09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byt nebo obytnou místnost), anebo je provozovatelem ubytovacího zařízení, kde se občan hlásí k trvalému pobytu.</w:t>
      </w:r>
    </w:p>
    <w:p w14:paraId="44A84519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 V případě, že souhlas s ohlášením změny místa trvalého pobytu uděluje oprávněná osoba, je nutné zároveň doložit, že oprávněná </w:t>
      </w:r>
      <w:proofErr w:type="gramStart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osoba  je</w:t>
      </w:r>
      <w:proofErr w:type="gramEnd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oprávněna byt nebo dům užívat.</w:t>
      </w:r>
    </w:p>
    <w:p w14:paraId="066FACFF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- zaplatit správní poplatek 50 Kč. 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Osoby mladší 15 let jsou od správního poplatku osvobozeny.</w:t>
      </w:r>
    </w:p>
    <w:p w14:paraId="054C6F1C" w14:textId="77777777" w:rsidR="00074A09" w:rsidRPr="000873FA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0873FA">
        <w:rPr>
          <w:rFonts w:ascii="Arial" w:eastAsia="Times New Roman" w:hAnsi="Arial" w:cs="Arial"/>
          <w:color w:val="FF0000"/>
          <w:sz w:val="19"/>
          <w:szCs w:val="19"/>
          <w:highlight w:val="yellow"/>
          <w:lang w:eastAsia="cs-CZ"/>
        </w:rPr>
        <w:t>Vlastník objektu</w:t>
      </w:r>
      <w:r w:rsidRPr="000873F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nebo jeho vymezené části </w:t>
      </w:r>
      <w:r w:rsidRPr="000873F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nedokládá ohlašovně své vlastnické právo 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nebo jiné užívací právo, </w:t>
      </w:r>
      <w:r w:rsidRPr="000873F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pokud si existenci tohoto práva může ohlašovna ověřit bezúplatně veřejným dálkovým přístupem v katastru nemovitostí.</w:t>
      </w:r>
    </w:p>
    <w:p w14:paraId="604F28B0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Zákonný zástupce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popřípadě pěstoun, který ohlašuje změnu místa trvalého pobytu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za občana mladšího 15 </w:t>
      </w:r>
      <w:proofErr w:type="gramStart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let ,</w:t>
      </w:r>
      <w:proofErr w:type="gramEnd"/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předloží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český rodný list dítěte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 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občanský průkaz dítěte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v případě, že mu byl vydán. </w:t>
      </w:r>
    </w:p>
    <w:p w14:paraId="57D8C586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Zákonný zástupce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který ohlašuje změnu místa trvalého pobytu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za občana, jehož svéprávnost byla rozhodnutím soudu omezena</w:t>
      </w: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tak, že není způsobilý ohlásit změnu místa trvalého pobytu, předloží své oprávnění k zastupování občana a jeho občanský průkaz (v případě, že mu občanský průkaz nebyl vydán, předloží rodný list občana). </w:t>
      </w:r>
    </w:p>
    <w:p w14:paraId="564E4BA7" w14:textId="37C420C1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V případě, že občan prokazuje při změně místa trvalého pobytu totožnost občanským průkazem, oddělí ohlašovna vyznačenou část občanského průkazu (roh) a současně občanovi vydá potvrzení o změně místa trvalého pobytu.</w:t>
      </w:r>
    </w:p>
    <w:p w14:paraId="14B926A1" w14:textId="77777777" w:rsidR="00074A09" w:rsidRPr="00074A09" w:rsidRDefault="00074A09" w:rsidP="00074A09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Zjistí-li ohlašovna nedostatky v předkládaných dokladech nebo rozpory v uváděných údajích s údaji v agendovém informačním systému evidence obyvatel nebo občanských průkazů, vyzve občana k jejich odstranění. Pokud občan nedostatky ve stanovené lhůtě neodstraní, rozhodne ohlašovna o tom, že změna místa trvalého pobytu nebude zaevidována.</w:t>
      </w:r>
    </w:p>
    <w:p w14:paraId="1E0BA39D" w14:textId="7A29625A" w:rsidR="00074A09" w:rsidRDefault="00074A09" w:rsidP="00074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074A0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 ohlášení změny místa trvalého pobytu 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je občan povinen </w:t>
      </w:r>
      <w:r w:rsidRPr="00123CDA">
        <w:rPr>
          <w:rFonts w:ascii="Arial" w:eastAsia="Times New Roman" w:hAnsi="Arial" w:cs="Arial"/>
          <w:b/>
          <w:bCs/>
          <w:color w:val="000000"/>
          <w:sz w:val="19"/>
          <w:szCs w:val="19"/>
          <w:highlight w:val="yellow"/>
          <w:lang w:eastAsia="cs-CZ"/>
        </w:rPr>
        <w:t>požádat do 15 pracovních dnů</w:t>
      </w:r>
      <w:r w:rsidRPr="00074A0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o vydání nového občanského průkazu.</w:t>
      </w:r>
    </w:p>
    <w:p w14:paraId="20AF1986" w14:textId="7872E2D9" w:rsidR="00EC3FF0" w:rsidRDefault="00EC3FF0" w:rsidP="00074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6A758F5F" w14:textId="77777777" w:rsidR="00EC3FF0" w:rsidRPr="00074A09" w:rsidRDefault="00EC3FF0" w:rsidP="0007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6429D00" w14:textId="793107CB" w:rsidR="00EC3FF0" w:rsidRDefault="00EC3FF0" w:rsidP="00EC3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Obecní úřad Studenec upozorňuje na skutečnost, že </w:t>
      </w:r>
      <w:r w:rsidRPr="00EC3FF0">
        <w:rPr>
          <w:rFonts w:ascii="Arial" w:eastAsia="Times New Roman" w:hAnsi="Arial" w:cs="Arial"/>
          <w:color w:val="000000"/>
          <w:sz w:val="19"/>
          <w:szCs w:val="19"/>
          <w:highlight w:val="yellow"/>
          <w:lang w:eastAsia="cs-CZ"/>
        </w:rPr>
        <w:t>PLATNOST občanského průkazu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EC3FF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končí uplynutím 45 dnů ode dne ohlášení změny místa trvalého pobytu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ust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 § 34 odst. 2 písm. A) zákona č. 269/2021 Sb.)</w:t>
      </w:r>
    </w:p>
    <w:p w14:paraId="27E02C67" w14:textId="77777777" w:rsidR="00D914D0" w:rsidRDefault="00D914D0"/>
    <w:sectPr w:rsidR="00D914D0" w:rsidSect="000854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9"/>
    <w:rsid w:val="000622B0"/>
    <w:rsid w:val="00074A09"/>
    <w:rsid w:val="0008547E"/>
    <w:rsid w:val="000873FA"/>
    <w:rsid w:val="000B43E2"/>
    <w:rsid w:val="00123CDA"/>
    <w:rsid w:val="00853393"/>
    <w:rsid w:val="00C900CE"/>
    <w:rsid w:val="00D914D0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C78"/>
  <w15:chartTrackingRefBased/>
  <w15:docId w15:val="{9A3097EB-F842-4F79-81F0-6B23977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4A09"/>
    <w:pPr>
      <w:spacing w:before="102" w:after="74" w:line="240" w:lineRule="auto"/>
      <w:outlineLvl w:val="0"/>
    </w:pPr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74A09"/>
    <w:pPr>
      <w:spacing w:before="320" w:after="96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4A09"/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74A09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4A09"/>
    <w:rPr>
      <w:color w:val="CB0E21"/>
      <w:u w:val="single"/>
    </w:rPr>
  </w:style>
  <w:style w:type="paragraph" w:styleId="Normlnweb">
    <w:name w:val="Normal (Web)"/>
    <w:basedOn w:val="Normln"/>
    <w:uiPriority w:val="99"/>
    <w:semiHidden/>
    <w:unhideWhenUsed/>
    <w:rsid w:val="00074A09"/>
    <w:pPr>
      <w:spacing w:after="222" w:line="33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studenec</dc:creator>
  <cp:keywords/>
  <dc:description/>
  <cp:lastModifiedBy>obec studenec</cp:lastModifiedBy>
  <cp:revision>6</cp:revision>
  <cp:lastPrinted>2022-08-19T09:33:00Z</cp:lastPrinted>
  <dcterms:created xsi:type="dcterms:W3CDTF">2022-08-18T06:20:00Z</dcterms:created>
  <dcterms:modified xsi:type="dcterms:W3CDTF">2022-08-19T09:33:00Z</dcterms:modified>
</cp:coreProperties>
</file>